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4EBE" w14:textId="4E3C5A08" w:rsidR="001964C4" w:rsidRDefault="001964C4">
      <w:pPr>
        <w:spacing w:after="0" w:line="240" w:lineRule="auto"/>
        <w:rPr>
          <w:rFonts w:ascii="Bahnschrift" w:eastAsia="Bahnschrift" w:hAnsi="Bahnschrift" w:cs="Bahnschrift"/>
          <w:color w:val="FFFFFF"/>
          <w:sz w:val="96"/>
          <w:szCs w:val="96"/>
        </w:rPr>
      </w:pPr>
    </w:p>
    <w:p w14:paraId="6723ACE8" w14:textId="7D702FF9" w:rsidR="001964C4" w:rsidRDefault="00F23C3B">
      <w:pPr>
        <w:spacing w:after="0" w:line="240" w:lineRule="auto"/>
        <w:rPr>
          <w:rFonts w:ascii="Bahnschrift" w:eastAsia="Bahnschrift" w:hAnsi="Bahnschrift" w:cs="Bahnschrift"/>
          <w:color w:val="FFFFFF"/>
          <w:sz w:val="96"/>
          <w:szCs w:val="96"/>
        </w:r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AE91B8F" wp14:editId="564E6DF8">
                <wp:simplePos x="0" y="0"/>
                <wp:positionH relativeFrom="column">
                  <wp:posOffset>1</wp:posOffset>
                </wp:positionH>
                <wp:positionV relativeFrom="paragraph">
                  <wp:posOffset>375920</wp:posOffset>
                </wp:positionV>
                <wp:extent cx="4310380" cy="7696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5573" y="3505680"/>
                          <a:ext cx="43008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3F7D6" w14:textId="77777777" w:rsidR="001964C4" w:rsidRDefault="001964C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E91B8F" id="Rectangle 2" o:spid="_x0000_s1026" style="position:absolute;margin-left:0;margin-top:29.6pt;width:339.4pt;height:6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" filled="f" stroked="f">
                <v:textbox inset="2.53958mm,2.53958mm,2.53958mm,2.53958mm">
                  <w:txbxContent>
                    <w:p w14:paraId="4573F7D6" w14:textId="77777777" w:rsidR="001964C4" w:rsidRDefault="001964C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AD30F9" w14:textId="199DE497" w:rsidR="001964C4" w:rsidRDefault="001964C4">
      <w:pPr>
        <w:spacing w:after="0" w:line="240" w:lineRule="auto"/>
      </w:pPr>
    </w:p>
    <w:p w14:paraId="353CA17D" w14:textId="2F5CA7A2" w:rsidR="001964C4" w:rsidRDefault="001964C4">
      <w:pPr>
        <w:spacing w:after="0" w:line="240" w:lineRule="auto"/>
      </w:pPr>
    </w:p>
    <w:p w14:paraId="720C1ADD" w14:textId="77777777" w:rsidR="001964C4" w:rsidRDefault="001964C4">
      <w:pPr>
        <w:spacing w:after="0" w:line="240" w:lineRule="auto"/>
      </w:pPr>
    </w:p>
    <w:p w14:paraId="556F840C" w14:textId="3D94BB26" w:rsidR="001964C4" w:rsidRDefault="001964C4">
      <w:pPr>
        <w:spacing w:after="0" w:line="240" w:lineRule="auto"/>
      </w:pPr>
    </w:p>
    <w:p w14:paraId="3229B2A0" w14:textId="5C5DECB5" w:rsidR="001964C4" w:rsidRDefault="00F23C3B">
      <w:pPr>
        <w:spacing w:after="0" w:line="240" w:lineRule="auto"/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B6FAEBF" wp14:editId="6F11AD97">
                <wp:simplePos x="0" y="0"/>
                <wp:positionH relativeFrom="column">
                  <wp:posOffset>-143934</wp:posOffset>
                </wp:positionH>
                <wp:positionV relativeFrom="paragraph">
                  <wp:posOffset>203624</wp:posOffset>
                </wp:positionV>
                <wp:extent cx="6200566" cy="29387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66" cy="293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2B094" w14:textId="77777777" w:rsidR="0033660B" w:rsidRDefault="0033660B" w:rsidP="0033660B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3459B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52"/>
                                <w:lang w:eastAsia="en-MY"/>
                              </w:rPr>
                              <w:drawing>
                                <wp:inline distT="0" distB="0" distL="0" distR="0" wp14:anchorId="03951163" wp14:editId="08C8B77E">
                                  <wp:extent cx="3361292" cy="1103202"/>
                                  <wp:effectExtent l="0" t="0" r="4445" b="1905"/>
                                  <wp:docPr id="11" name="Picture 10" descr="logo u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 descr="logo utm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8417" cy="1118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96E105" w14:textId="77777777" w:rsidR="0033660B" w:rsidRDefault="0033660B" w:rsidP="0033660B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13D7737" w14:textId="14432B6D" w:rsidR="00F23C3B" w:rsidRDefault="00F23C3B" w:rsidP="0033660B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Prosedur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425ACC"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>Xxxxxx</w:t>
                            </w:r>
                            <w:proofErr w:type="spellEnd"/>
                            <w:r w:rsidRPr="00425ACC"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425ACC"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>Xxxxxxxx</w:t>
                            </w:r>
                            <w:proofErr w:type="spellEnd"/>
                          </w:p>
                          <w:p w14:paraId="5617A684" w14:textId="22256FC4" w:rsidR="00F23C3B" w:rsidRPr="00895D3E" w:rsidRDefault="00F23C3B" w:rsidP="0033660B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95D3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Universiti</w:t>
                            </w:r>
                            <w:proofErr w:type="spellEnd"/>
                            <w:r w:rsidRPr="00895D3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895D3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Teknologi</w:t>
                            </w:r>
                            <w:proofErr w:type="spellEnd"/>
                            <w:r w:rsidRPr="00895D3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Malaysia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6FAEBF" id="Rectangle 4" o:spid="_x0000_s1027" style="position:absolute;margin-left:-11.35pt;margin-top:16.05pt;width:488.25pt;height:23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" filled="f" stroked="f">
                <v:textbox inset="2.53958mm,2.53958mm,2.53958mm,2.53958mm">
                  <w:txbxContent>
                    <w:p w14:paraId="6F12B094" w14:textId="77777777" w:rsidR="0033660B" w:rsidRDefault="0033660B" w:rsidP="0033660B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3459B">
                        <w:rPr>
                          <w:rFonts w:ascii="Arial" w:eastAsia="Arial" w:hAnsi="Arial" w:cs="Arial"/>
                          <w:noProof/>
                          <w:color w:val="000000"/>
                          <w:sz w:val="52"/>
                        </w:rPr>
                        <w:drawing>
                          <wp:inline distT="0" distB="0" distL="0" distR="0" wp14:anchorId="03951163" wp14:editId="08C8B77E">
                            <wp:extent cx="3361292" cy="1103202"/>
                            <wp:effectExtent l="0" t="0" r="4445" b="1905"/>
                            <wp:docPr id="11" name="Picture 10" descr="logo u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 descr="logo utm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8417" cy="1118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96E105" w14:textId="77777777" w:rsidR="0033660B" w:rsidRDefault="0033660B" w:rsidP="0033660B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13D7737" w14:textId="14432B6D" w:rsidR="00F23C3B" w:rsidRDefault="00F23C3B" w:rsidP="0033660B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Prosedur </w:t>
                      </w:r>
                      <w:r w:rsidRPr="00425ACC">
                        <w:rPr>
                          <w:rFonts w:ascii="Arial" w:hAnsi="Arial" w:cs="Arial"/>
                          <w:color w:val="FF0000"/>
                          <w:sz w:val="56"/>
                          <w:szCs w:val="56"/>
                        </w:rPr>
                        <w:t>Xxxxxx Xxxxxxxx</w:t>
                      </w:r>
                    </w:p>
                    <w:p w14:paraId="5617A684" w14:textId="22256FC4" w:rsidR="00F23C3B" w:rsidRPr="00895D3E" w:rsidRDefault="00F23C3B" w:rsidP="0033660B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895D3E">
                        <w:rPr>
                          <w:rFonts w:ascii="Arial" w:hAnsi="Arial" w:cs="Arial"/>
                          <w:sz w:val="56"/>
                          <w:szCs w:val="56"/>
                        </w:rPr>
                        <w:t>Universiti Teknologi Malaysia</w:t>
                      </w:r>
                    </w:p>
                  </w:txbxContent>
                </v:textbox>
              </v:rect>
            </w:pict>
          </mc:Fallback>
        </mc:AlternateContent>
      </w:r>
    </w:p>
    <w:p w14:paraId="04B67E0B" w14:textId="36C7EE9A" w:rsidR="001964C4" w:rsidRDefault="001964C4">
      <w:pPr>
        <w:spacing w:after="0" w:line="240" w:lineRule="auto"/>
      </w:pPr>
    </w:p>
    <w:p w14:paraId="680E1E45" w14:textId="7836761B" w:rsidR="001964C4" w:rsidRDefault="00F23C3B">
      <w:pPr>
        <w:spacing w:after="0" w:line="240" w:lineRule="auto"/>
      </w:pPr>
      <w:r>
        <w:br w:type="page"/>
      </w:r>
    </w:p>
    <w:p w14:paraId="00AC38B4" w14:textId="77777777" w:rsidR="001964C4" w:rsidRDefault="00F23C3B">
      <w:pP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Nama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22B6F7F" wp14:editId="67614648">
                <wp:simplePos x="0" y="0"/>
                <wp:positionH relativeFrom="column">
                  <wp:posOffset>3873500</wp:posOffset>
                </wp:positionH>
                <wp:positionV relativeFrom="paragraph">
                  <wp:posOffset>-855979</wp:posOffset>
                </wp:positionV>
                <wp:extent cx="2370455" cy="8858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508220"/>
                          <a:ext cx="23609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67B527" w14:textId="77777777" w:rsidR="001964C4" w:rsidRDefault="001964C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2B6F7F" id="Rectangle 3" o:spid="_x0000_s1028" style="position:absolute;margin-left:305pt;margin-top:-67.4pt;width:186.65pt;height:6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" filled="f" stroked="f">
                <v:textbox inset="2.53958mm,2.53958mm,2.53958mm,2.53958mm">
                  <w:txbxContent>
                    <w:p w14:paraId="1667B527" w14:textId="77777777" w:rsidR="001964C4" w:rsidRDefault="001964C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9D22E9F" wp14:editId="2F5343E8">
                <wp:simplePos x="0" y="0"/>
                <wp:positionH relativeFrom="column">
                  <wp:posOffset>3873500</wp:posOffset>
                </wp:positionH>
                <wp:positionV relativeFrom="paragraph">
                  <wp:posOffset>-855979</wp:posOffset>
                </wp:positionV>
                <wp:extent cx="2370455" cy="5441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508220"/>
                          <a:ext cx="23609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D2490" w14:textId="77777777" w:rsidR="001964C4" w:rsidRDefault="001964C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D22E9F" id="Rectangle 1" o:spid="_x0000_s1029" style="position:absolute;margin-left:305pt;margin-top:-67.4pt;width:186.65pt;height:42.8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" filled="f" stroked="f">
                <v:textbox inset="2.53958mm,2.53958mm,2.53958mm,2.53958mm">
                  <w:txbxContent>
                    <w:p w14:paraId="679D2490" w14:textId="77777777" w:rsidR="001964C4" w:rsidRDefault="001964C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A07F9A0" w14:textId="77777777" w:rsidR="001964C4" w:rsidRDefault="00F23C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Nombor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5C18450B" w14:textId="77777777" w:rsidR="001964C4" w:rsidRDefault="00F23C3B">
      <w:pP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Diluluskan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Oleh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C00000"/>
          <w:sz w:val="24"/>
          <w:szCs w:val="24"/>
        </w:rPr>
        <w:tab/>
        <w:t xml:space="preserve"> </w:t>
      </w:r>
    </w:p>
    <w:p w14:paraId="2A1D91BC" w14:textId="77777777" w:rsidR="001964C4" w:rsidRDefault="00F23C3B">
      <w:pP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Tarikh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kuasa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  <w:t xml:space="preserve"> </w:t>
      </w:r>
    </w:p>
    <w:p w14:paraId="23F03996" w14:textId="0ECEEE87" w:rsidR="001964C4" w:rsidRDefault="00F23C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Pautan</w:t>
      </w:r>
      <w:proofErr w:type="spellEnd"/>
      <w:r w:rsidR="003F7F4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F7F42">
        <w:rPr>
          <w:rFonts w:ascii="Arial" w:eastAsia="Arial" w:hAnsi="Arial" w:cs="Arial"/>
          <w:sz w:val="24"/>
          <w:szCs w:val="24"/>
        </w:rPr>
        <w:t>Rasmi</w:t>
      </w:r>
      <w:proofErr w:type="spellEnd"/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</w:p>
    <w:p w14:paraId="51DE0236" w14:textId="77777777" w:rsidR="001964C4" w:rsidRDefault="001964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07BFD6" w14:textId="77777777" w:rsidR="001964C4" w:rsidRDefault="001964C4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3D575600" w14:textId="77777777" w:rsidR="001964C4" w:rsidRDefault="00F23C3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 xml:space="preserve">Format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mengandungi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berwarna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merah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membantu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menyediakan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Penerangan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dipadamkan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setelah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dilengkapkan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  <w:proofErr w:type="gramEnd"/>
    </w:p>
    <w:p w14:paraId="5A8B0EFF" w14:textId="77777777" w:rsidR="001964C4" w:rsidRDefault="001964C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CB340A" w14:textId="77777777" w:rsidR="001964C4" w:rsidRDefault="00F23C3B">
      <w:pPr>
        <w:widowControl w:val="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bermaksud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cara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lazim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membuat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sesuatu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urusan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aturan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cara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berkerja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melakukan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sesuatu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tatacara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memastikan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melakukan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melaksanakan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tugasnya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betul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menurut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peraturan</w:t>
      </w:r>
      <w:proofErr w:type="spellEnd"/>
    </w:p>
    <w:p w14:paraId="45983096" w14:textId="77777777" w:rsidR="001964C4" w:rsidRDefault="001964C4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A8CB2DF" w14:textId="77777777" w:rsidR="001964C4" w:rsidRDefault="00F23C3B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Definisi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operasi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(O.D)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bermaksud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tatacara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/proses/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langkah-langkah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pelaksanaan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menjayakan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2B700B0" w14:textId="77777777" w:rsidR="001964C4" w:rsidRDefault="001964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A2142A" w14:textId="77777777" w:rsidR="001964C4" w:rsidRDefault="001964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EC59E5" w14:textId="77777777" w:rsidR="001964C4" w:rsidRDefault="001964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414702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1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PENGENALAN</w:t>
      </w:r>
    </w:p>
    <w:p w14:paraId="5A4E06FF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3"/>
        <w:rPr>
          <w:rFonts w:ascii="Arial" w:eastAsia="Arial" w:hAnsi="Arial" w:cs="Arial"/>
          <w:color w:val="C00000"/>
          <w:sz w:val="24"/>
          <w:szCs w:val="24"/>
        </w:rPr>
      </w:pPr>
    </w:p>
    <w:p w14:paraId="7E6F4B5C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720"/>
        <w:rPr>
          <w:rFonts w:ascii="Arial" w:eastAsia="Arial" w:hAnsi="Arial" w:cs="Arial"/>
          <w:color w:val="C00000"/>
          <w:sz w:val="24"/>
          <w:szCs w:val="24"/>
        </w:rPr>
      </w:pPr>
    </w:p>
    <w:p w14:paraId="0EAB09C0" w14:textId="77777777" w:rsidR="001964C4" w:rsidRDefault="00F23C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TUJUAN </w:t>
      </w:r>
    </w:p>
    <w:p w14:paraId="52A1D202" w14:textId="77777777" w:rsidR="001964C4" w:rsidRDefault="00F23C3B">
      <w:pPr>
        <w:spacing w:after="0" w:line="240" w:lineRule="auto"/>
        <w:ind w:left="3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&lt;WAJIB&gt; </w:t>
      </w:r>
    </w:p>
    <w:p w14:paraId="2502669A" w14:textId="77777777" w:rsidR="001964C4" w:rsidRDefault="00F23C3B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ringkas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satu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ayat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tentang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mengapa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diwujudkan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</w:p>
    <w:p w14:paraId="6826ED8C" w14:textId="77777777" w:rsidR="001964C4" w:rsidRDefault="00F23C3B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Maklumat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latar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belakang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penjelasan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terperinci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dimasukkan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3873F844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54080B77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53ACA800" w14:textId="77777777" w:rsidR="001964C4" w:rsidRDefault="00F23C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SKOP </w:t>
      </w:r>
    </w:p>
    <w:p w14:paraId="21B5E4B0" w14:textId="77777777" w:rsidR="001964C4" w:rsidRDefault="00F23C3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   &lt;WAJIB&gt;</w:t>
      </w:r>
    </w:p>
    <w:p w14:paraId="5A1301DD" w14:textId="77777777" w:rsidR="001964C4" w:rsidRDefault="00F23C3B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Nyatakan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skop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pihak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golongan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terlibat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mana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diguna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pakai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263B5188" w14:textId="77777777" w:rsidR="001964C4" w:rsidRDefault="001964C4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CB38481" w14:textId="77777777" w:rsidR="001964C4" w:rsidRDefault="00F23C3B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ayat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1DEF2840" w14:textId="77777777" w:rsidR="001964C4" w:rsidRDefault="001964C4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AE7DB7D" w14:textId="77777777" w:rsidR="001964C4" w:rsidRDefault="00F23C3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Staf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Akademik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Tetap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” </w:t>
      </w:r>
    </w:p>
    <w:p w14:paraId="2BDC4C1D" w14:textId="77777777" w:rsidR="001964C4" w:rsidRDefault="00F23C3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Pelajar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Antarabangsa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”</w:t>
      </w:r>
    </w:p>
    <w:p w14:paraId="3D60B832" w14:textId="77777777" w:rsidR="001964C4" w:rsidRDefault="00F23C3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Makmal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Pengajaran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Seliaan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Fakulti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UTM” </w:t>
      </w:r>
    </w:p>
    <w:p w14:paraId="428730D4" w14:textId="77777777" w:rsidR="001964C4" w:rsidRDefault="00F23C3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Sumbangan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Endowmen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Daripada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Pusat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Tanggungjawab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Dalaman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”</w:t>
      </w:r>
    </w:p>
    <w:p w14:paraId="5769069D" w14:textId="77777777" w:rsidR="001964C4" w:rsidRDefault="00F23C3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Pusat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Tanggungjawab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UTM”</w:t>
      </w:r>
    </w:p>
    <w:p w14:paraId="732F8774" w14:textId="77777777" w:rsidR="001964C4" w:rsidRDefault="001964C4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16C65DB" w14:textId="77777777" w:rsidR="001964C4" w:rsidRDefault="00F23C3B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Seksyen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mengandungi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perincian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pengecualian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daripada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perlaksanaan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368C27A6" w14:textId="77777777" w:rsidR="001964C4" w:rsidRDefault="001964C4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9D9E1C6" w14:textId="77777777" w:rsidR="001964C4" w:rsidRDefault="00F23C3B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ayat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76B73F65" w14:textId="77777777" w:rsidR="001964C4" w:rsidRDefault="001964C4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F07F70E" w14:textId="77777777" w:rsidR="001964C4" w:rsidRDefault="00F23C3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Pelajar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Bawah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Peraturan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Akademik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Tahun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2008” </w:t>
      </w:r>
    </w:p>
    <w:p w14:paraId="1F9DCD8C" w14:textId="77777777" w:rsidR="001964C4" w:rsidRDefault="00F23C3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Makmal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Seliaan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Pusat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Kecemerlangan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”</w:t>
      </w:r>
    </w:p>
    <w:p w14:paraId="03E33846" w14:textId="77777777" w:rsidR="001964C4" w:rsidRDefault="00F23C3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Staf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Dilantik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Tetap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Sebelum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12 April 1991” </w:t>
      </w:r>
    </w:p>
    <w:p w14:paraId="3EF282B0" w14:textId="77777777" w:rsidR="001964C4" w:rsidRDefault="001964C4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88C68AF" w14:textId="77777777" w:rsidR="001964C4" w:rsidRDefault="00F23C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POLISI BERKAITAN</w:t>
      </w:r>
    </w:p>
    <w:p w14:paraId="3D98FE1B" w14:textId="77777777" w:rsidR="001964C4" w:rsidRDefault="00F23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Menyenaraikan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UTM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31592774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Pertama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Cuti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Belajar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Staf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Akademik</w:t>
      </w:r>
      <w:proofErr w:type="spellEnd"/>
    </w:p>
    <w:p w14:paraId="444B5838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i)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Pelantikan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Staf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Akademik</w:t>
      </w:r>
      <w:proofErr w:type="spellEnd"/>
    </w:p>
    <w:p w14:paraId="19843656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ii)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Pembangunan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Staf</w:t>
      </w:r>
      <w:proofErr w:type="spellEnd"/>
    </w:p>
    <w:p w14:paraId="00253A7E" w14:textId="77777777" w:rsidR="001964C4" w:rsidRDefault="00F23C3B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Kedua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   : 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Tadbir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Urus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Harta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Intelek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UTM</w:t>
      </w:r>
    </w:p>
    <w:p w14:paraId="2F419E8F" w14:textId="77777777" w:rsidR="001964C4" w:rsidRDefault="00F23C3B">
      <w:pPr>
        <w:spacing w:after="0" w:line="360" w:lineRule="auto"/>
        <w:ind w:left="21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i)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Harta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Intelek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UTM</w:t>
      </w:r>
    </w:p>
    <w:p w14:paraId="036CA2EE" w14:textId="77777777" w:rsidR="001964C4" w:rsidRDefault="00F23C3B">
      <w:pPr>
        <w:spacing w:after="0" w:line="360" w:lineRule="auto"/>
        <w:ind w:left="21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ii)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Kewangan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</w:p>
    <w:p w14:paraId="79B33131" w14:textId="77777777" w:rsidR="001964C4" w:rsidRDefault="00F23C3B">
      <w:pPr>
        <w:spacing w:after="0" w:line="360" w:lineRule="auto"/>
        <w:ind w:left="21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iii)</w:t>
      </w:r>
      <w:proofErr w:type="spellStart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Penyelidikan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UTM</w:t>
      </w:r>
    </w:p>
    <w:p w14:paraId="6A730F7F" w14:textId="77777777" w:rsidR="001964C4" w:rsidRDefault="001964C4">
      <w:pPr>
        <w:spacing w:after="0" w:line="360" w:lineRule="auto"/>
        <w:ind w:left="21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B266E26" w14:textId="77777777" w:rsidR="001964C4" w:rsidRDefault="00F23C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DEFINISI</w:t>
      </w:r>
    </w:p>
    <w:p w14:paraId="6C5CA109" w14:textId="77777777" w:rsidR="001964C4" w:rsidRDefault="00F23C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Senaraikan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istilah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singkatan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digunapakai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389AD26D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:</w:t>
      </w:r>
      <w:proofErr w:type="gramEnd"/>
    </w:p>
    <w:tbl>
      <w:tblPr>
        <w:tblStyle w:val="a"/>
        <w:tblW w:w="88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240"/>
      </w:tblGrid>
      <w:tr w:rsidR="001964C4" w14:paraId="16AA72E8" w14:textId="77777777">
        <w:tc>
          <w:tcPr>
            <w:tcW w:w="2655" w:type="dxa"/>
            <w:shd w:val="clear" w:color="auto" w:fill="C0C0C0"/>
          </w:tcPr>
          <w:p w14:paraId="268778B0" w14:textId="77777777" w:rsidR="001964C4" w:rsidRDefault="00F23C3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Istilah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Singkatan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6240" w:type="dxa"/>
            <w:shd w:val="clear" w:color="auto" w:fill="C0C0C0"/>
          </w:tcPr>
          <w:p w14:paraId="362DD0A7" w14:textId="77777777" w:rsidR="001964C4" w:rsidRDefault="00F23C3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Definisi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Penerangan</w:t>
            </w:r>
            <w:proofErr w:type="spellEnd"/>
          </w:p>
        </w:tc>
      </w:tr>
      <w:tr w:rsidR="001964C4" w14:paraId="2C1704A1" w14:textId="77777777">
        <w:tc>
          <w:tcPr>
            <w:tcW w:w="2655" w:type="dxa"/>
          </w:tcPr>
          <w:p w14:paraId="2406F8C3" w14:textId="77777777" w:rsidR="001964C4" w:rsidRDefault="00F23C3B">
            <w:pPr>
              <w:spacing w:line="276" w:lineRule="auto"/>
              <w:ind w:left="5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JPU</w:t>
            </w:r>
          </w:p>
        </w:tc>
        <w:tc>
          <w:tcPr>
            <w:tcW w:w="6240" w:type="dxa"/>
          </w:tcPr>
          <w:p w14:paraId="3A821972" w14:textId="77777777" w:rsidR="001964C4" w:rsidRDefault="00F23C3B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Jawatankuasa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Universiti</w:t>
            </w:r>
            <w:proofErr w:type="spellEnd"/>
          </w:p>
        </w:tc>
      </w:tr>
      <w:tr w:rsidR="001964C4" w14:paraId="4C03A9E2" w14:textId="77777777">
        <w:tc>
          <w:tcPr>
            <w:tcW w:w="2655" w:type="dxa"/>
          </w:tcPr>
          <w:p w14:paraId="0A1962A4" w14:textId="77777777" w:rsidR="001964C4" w:rsidRDefault="00F23C3B">
            <w:pPr>
              <w:spacing w:line="276" w:lineRule="auto"/>
              <w:ind w:left="5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UTM</w:t>
            </w:r>
          </w:p>
        </w:tc>
        <w:tc>
          <w:tcPr>
            <w:tcW w:w="6240" w:type="dxa"/>
          </w:tcPr>
          <w:p w14:paraId="0AE9F25E" w14:textId="77777777" w:rsidR="001964C4" w:rsidRDefault="00F23C3B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berdaftar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di UTM </w:t>
            </w:r>
          </w:p>
        </w:tc>
      </w:tr>
      <w:tr w:rsidR="001964C4" w14:paraId="16B4035E" w14:textId="77777777">
        <w:tc>
          <w:tcPr>
            <w:tcW w:w="2655" w:type="dxa"/>
          </w:tcPr>
          <w:p w14:paraId="4399239C" w14:textId="77777777" w:rsidR="001964C4" w:rsidRDefault="00F23C3B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PHB</w:t>
            </w:r>
          </w:p>
        </w:tc>
        <w:tc>
          <w:tcPr>
            <w:tcW w:w="6240" w:type="dxa"/>
          </w:tcPr>
          <w:p w14:paraId="64F7EFB6" w14:textId="77777777" w:rsidR="001964C4" w:rsidRDefault="00F23C3B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Pejabat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Harta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Bina</w:t>
            </w:r>
            <w:proofErr w:type="spellEnd"/>
          </w:p>
        </w:tc>
      </w:tr>
      <w:tr w:rsidR="001964C4" w14:paraId="6BB7FECA" w14:textId="77777777">
        <w:tc>
          <w:tcPr>
            <w:tcW w:w="2655" w:type="dxa"/>
          </w:tcPr>
          <w:p w14:paraId="12F1F65B" w14:textId="77777777" w:rsidR="001964C4" w:rsidRDefault="00F23C3B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Staf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240" w:type="dxa"/>
          </w:tcPr>
          <w:p w14:paraId="6784C64A" w14:textId="77777777" w:rsidR="001964C4" w:rsidRDefault="00F23C3B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Staf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UTM yang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dilantik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skim DS</w:t>
            </w:r>
          </w:p>
        </w:tc>
      </w:tr>
      <w:tr w:rsidR="001964C4" w14:paraId="58DBF3BD" w14:textId="77777777">
        <w:tc>
          <w:tcPr>
            <w:tcW w:w="2655" w:type="dxa"/>
            <w:shd w:val="clear" w:color="auto" w:fill="C0C0C0"/>
          </w:tcPr>
          <w:p w14:paraId="0CB67988" w14:textId="77777777" w:rsidR="001964C4" w:rsidRDefault="00F23C3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Istilah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Singkatan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6240" w:type="dxa"/>
            <w:shd w:val="clear" w:color="auto" w:fill="C0C0C0"/>
          </w:tcPr>
          <w:p w14:paraId="4F610A7B" w14:textId="77777777" w:rsidR="001964C4" w:rsidRDefault="00F23C3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Definisi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Penerangan</w:t>
            </w:r>
            <w:proofErr w:type="spellEnd"/>
          </w:p>
        </w:tc>
      </w:tr>
      <w:tr w:rsidR="001964C4" w14:paraId="0BCE0929" w14:textId="77777777">
        <w:tc>
          <w:tcPr>
            <w:tcW w:w="2655" w:type="dxa"/>
          </w:tcPr>
          <w:p w14:paraId="09227873" w14:textId="77777777" w:rsidR="001964C4" w:rsidRDefault="00F23C3B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Syarikat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Hiliran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UTM</w:t>
            </w:r>
          </w:p>
        </w:tc>
        <w:tc>
          <w:tcPr>
            <w:tcW w:w="6240" w:type="dxa"/>
          </w:tcPr>
          <w:p w14:paraId="0A737EA4" w14:textId="77777777" w:rsidR="001964C4" w:rsidRDefault="00F23C3B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Syarikat yang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ditubuhkan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oleh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staf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UTM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mengeksploitasi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harta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intelek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UTM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Universiti</w:t>
            </w:r>
            <w:proofErr w:type="spellEnd"/>
          </w:p>
        </w:tc>
      </w:tr>
      <w:tr w:rsidR="001964C4" w14:paraId="4A702268" w14:textId="77777777">
        <w:tc>
          <w:tcPr>
            <w:tcW w:w="2655" w:type="dxa"/>
          </w:tcPr>
          <w:p w14:paraId="7A422A7B" w14:textId="77777777" w:rsidR="001964C4" w:rsidRDefault="00F23C3B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JKAF</w:t>
            </w:r>
          </w:p>
        </w:tc>
        <w:tc>
          <w:tcPr>
            <w:tcW w:w="6240" w:type="dxa"/>
          </w:tcPr>
          <w:p w14:paraId="5764A08D" w14:textId="77777777" w:rsidR="001964C4" w:rsidRDefault="00F23C3B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Jawatankuasa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Akademik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Fakulti</w:t>
            </w:r>
            <w:proofErr w:type="spellEnd"/>
          </w:p>
        </w:tc>
      </w:tr>
      <w:tr w:rsidR="001964C4" w14:paraId="30E8F6C9" w14:textId="77777777">
        <w:tc>
          <w:tcPr>
            <w:tcW w:w="2655" w:type="dxa"/>
          </w:tcPr>
          <w:p w14:paraId="4AE4B9CF" w14:textId="77777777" w:rsidR="001964C4" w:rsidRDefault="00F23C3B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UPMU</w:t>
            </w:r>
          </w:p>
        </w:tc>
        <w:tc>
          <w:tcPr>
            <w:tcW w:w="6240" w:type="dxa"/>
          </w:tcPr>
          <w:p w14:paraId="43B925B9" w14:textId="77777777" w:rsidR="001964C4" w:rsidRDefault="00F23C3B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Makmal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Universiti</w:t>
            </w:r>
            <w:proofErr w:type="spellEnd"/>
          </w:p>
        </w:tc>
      </w:tr>
      <w:tr w:rsidR="001964C4" w14:paraId="74043BF1" w14:textId="77777777">
        <w:tc>
          <w:tcPr>
            <w:tcW w:w="2655" w:type="dxa"/>
          </w:tcPr>
          <w:p w14:paraId="745048EB" w14:textId="77777777" w:rsidR="001964C4" w:rsidRDefault="00F23C3B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KG</w:t>
            </w:r>
          </w:p>
        </w:tc>
        <w:tc>
          <w:tcPr>
            <w:tcW w:w="6240" w:type="dxa"/>
          </w:tcPr>
          <w:p w14:paraId="470A5FA6" w14:textId="77777777" w:rsidR="001964C4" w:rsidRDefault="00F23C3B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Kedudukan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Gagal</w:t>
            </w:r>
            <w:proofErr w:type="spellEnd"/>
          </w:p>
        </w:tc>
      </w:tr>
    </w:tbl>
    <w:p w14:paraId="617C882E" w14:textId="77777777" w:rsidR="001964C4" w:rsidRDefault="001964C4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18141D4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6C711D2" w14:textId="77777777" w:rsidR="001964C4" w:rsidRDefault="00F23C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KONTEKS PERUNDANGAN</w:t>
      </w:r>
    </w:p>
    <w:p w14:paraId="2E037AC9" w14:textId="77777777" w:rsidR="001964C4" w:rsidRDefault="00F23C3B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&lt;WAJIB&gt;</w:t>
      </w:r>
    </w:p>
    <w:p w14:paraId="568A39A0" w14:textId="77777777" w:rsidR="001964C4" w:rsidRDefault="00F23C3B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Senaraikan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sebarang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peruntukan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undang-undang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perlembagaan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statut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peraturan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dasar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digunakan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sebagai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asas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rujukan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</w:p>
    <w:p w14:paraId="0FD18958" w14:textId="77777777" w:rsidR="001964C4" w:rsidRDefault="00F23C3B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Jangan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masukkan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ayat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panjang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jika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buat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petikan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daripada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pautan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rujukan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aras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tertinggi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mana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maklumat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diakses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penuh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748E9CC1" w14:textId="77777777" w:rsidR="001964C4" w:rsidRDefault="001964C4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1E208343" w14:textId="77777777" w:rsidR="001964C4" w:rsidRDefault="001964C4">
      <w:pPr>
        <w:spacing w:after="0" w:line="24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tbl>
      <w:tblPr>
        <w:tblStyle w:val="a0"/>
        <w:tblW w:w="8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4680"/>
      </w:tblGrid>
      <w:tr w:rsidR="001964C4" w14:paraId="785B47FC" w14:textId="77777777">
        <w:trPr>
          <w:trHeight w:val="460"/>
        </w:trPr>
        <w:tc>
          <w:tcPr>
            <w:tcW w:w="40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7196" w14:textId="77777777" w:rsidR="001964C4" w:rsidRDefault="00F23C3B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4680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75F0" w14:textId="77777777" w:rsidR="001964C4" w:rsidRDefault="00F23C3B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Klausa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1964C4" w14:paraId="15125BF8" w14:textId="77777777">
        <w:trPr>
          <w:trHeight w:val="460"/>
        </w:trPr>
        <w:tc>
          <w:tcPr>
            <w:tcW w:w="40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798B" w14:textId="77777777" w:rsidR="001964C4" w:rsidRDefault="00F23C3B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Akta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Badan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Berkanun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Tatatertib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Surcaj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) 2000 (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Akta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605)</w:t>
            </w:r>
          </w:p>
        </w:tc>
        <w:tc>
          <w:tcPr>
            <w:tcW w:w="468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B205" w14:textId="77777777" w:rsidR="001964C4" w:rsidRDefault="00F23C3B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Seksyen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15</w:t>
            </w:r>
          </w:p>
          <w:p w14:paraId="3DDE5291" w14:textId="77777777" w:rsidR="001964C4" w:rsidRDefault="00F23C3B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5 (d)</w:t>
            </w:r>
          </w:p>
        </w:tc>
      </w:tr>
      <w:tr w:rsidR="001964C4" w14:paraId="40098D5C" w14:textId="77777777">
        <w:trPr>
          <w:trHeight w:val="460"/>
        </w:trPr>
        <w:tc>
          <w:tcPr>
            <w:tcW w:w="40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0405" w14:textId="77777777" w:rsidR="001964C4" w:rsidRDefault="00F23C3B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Akta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Suruhanjaya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Pencegahan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Rasuah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Malaysia (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Akta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594)</w:t>
            </w:r>
          </w:p>
        </w:tc>
        <w:tc>
          <w:tcPr>
            <w:tcW w:w="468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263B" w14:textId="77777777" w:rsidR="001964C4" w:rsidRDefault="00F23C3B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Seksyen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23</w:t>
            </w:r>
          </w:p>
        </w:tc>
      </w:tr>
      <w:tr w:rsidR="001964C4" w14:paraId="1C884E17" w14:textId="77777777">
        <w:trPr>
          <w:trHeight w:val="460"/>
        </w:trPr>
        <w:tc>
          <w:tcPr>
            <w:tcW w:w="40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D9CA" w14:textId="77777777" w:rsidR="001964C4" w:rsidRDefault="00F23C3B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Perlembagaan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UTM </w:t>
            </w:r>
          </w:p>
        </w:tc>
        <w:tc>
          <w:tcPr>
            <w:tcW w:w="468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EC47" w14:textId="77777777" w:rsidR="001964C4" w:rsidRDefault="00F23C3B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Seksyen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22 (2)</w:t>
            </w:r>
          </w:p>
        </w:tc>
      </w:tr>
    </w:tbl>
    <w:p w14:paraId="34288A38" w14:textId="77777777" w:rsidR="001964C4" w:rsidRDefault="001964C4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24B5339" w14:textId="77777777" w:rsidR="001964C4" w:rsidRDefault="001964C4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6EC4731E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PROSEDUR</w:t>
      </w:r>
    </w:p>
    <w:p w14:paraId="018135B2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2.1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KERANGKA PROSEDUR</w:t>
      </w:r>
    </w:p>
    <w:p w14:paraId="54F5A170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 xml:space="preserve">&lt;PILIHAN&gt; </w:t>
      </w:r>
    </w:p>
    <w:p w14:paraId="6E3F333B" w14:textId="77777777" w:rsidR="001964C4" w:rsidRDefault="00F23C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Sekiranya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melibatkan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pelbagai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proses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digambarkan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kerangka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099D592B" w14:textId="77777777" w:rsidR="001964C4" w:rsidRDefault="001964C4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4728E79" w14:textId="77777777" w:rsidR="001964C4" w:rsidRDefault="00F23C3B" w:rsidP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color w:val="FF0000"/>
          <w:sz w:val="24"/>
          <w:szCs w:val="24"/>
          <w:lang w:eastAsia="en-MY"/>
        </w:rPr>
        <w:drawing>
          <wp:inline distT="114300" distB="114300" distL="114300" distR="114300" wp14:anchorId="2860F353" wp14:editId="1830276B">
            <wp:extent cx="6138333" cy="215011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1806" cy="2172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C12ADB" w14:textId="269B516C" w:rsidR="00F23C3B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8F60A5" w14:textId="77777777" w:rsidR="003F7F42" w:rsidRDefault="003F7F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D0BF93" w14:textId="0A64EC12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2.2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TANGGUNGJAWAB </w:t>
      </w:r>
    </w:p>
    <w:p w14:paraId="085261EB" w14:textId="77777777" w:rsidR="001964C4" w:rsidRDefault="00F23C3B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&lt;WAJIB&gt;</w:t>
      </w:r>
    </w:p>
    <w:p w14:paraId="5B831CFB" w14:textId="77777777" w:rsidR="001964C4" w:rsidRDefault="00F23C3B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Senaraikan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tanggungjawab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pihak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terlibat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4FFBB441" w14:textId="77777777" w:rsidR="001964C4" w:rsidRDefault="00F23C3B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63F111C" w14:textId="77777777" w:rsidR="001964C4" w:rsidRDefault="001964C4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C801D70" w14:textId="77777777" w:rsidR="001964C4" w:rsidRDefault="00F23C3B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2.2.1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Senat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bertanggungjawab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meluluskan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baharu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19F6295B" w14:textId="77777777" w:rsidR="001964C4" w:rsidRDefault="00F23C3B">
      <w:pPr>
        <w:spacing w:after="0" w:line="360" w:lineRule="auto"/>
        <w:ind w:left="720" w:firstLine="72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pindaan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akademik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139D4F78" w14:textId="77777777" w:rsidR="001964C4" w:rsidRPr="0040325D" w:rsidRDefault="00F23C3B" w:rsidP="0040325D">
      <w:pPr>
        <w:spacing w:after="0" w:line="360" w:lineRule="auto"/>
        <w:ind w:left="1418" w:hanging="709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40325D">
        <w:rPr>
          <w:rFonts w:ascii="Arial" w:eastAsia="Arial" w:hAnsi="Arial" w:cs="Arial"/>
          <w:color w:val="FF0000"/>
          <w:sz w:val="24"/>
          <w:szCs w:val="24"/>
        </w:rPr>
        <w:t>2.2.2</w:t>
      </w:r>
      <w:r w:rsidRPr="0040325D">
        <w:rPr>
          <w:rFonts w:ascii="Arial" w:eastAsia="Arial" w:hAnsi="Arial" w:cs="Arial"/>
          <w:color w:val="FF0000"/>
          <w:sz w:val="24"/>
          <w:szCs w:val="24"/>
        </w:rPr>
        <w:tab/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Jawatankuasa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Pengurusan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bertanggungjawab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meluluskan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baharu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pindaan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selain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daripada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akademik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>.</w:t>
      </w:r>
      <w:proofErr w:type="gramEnd"/>
    </w:p>
    <w:p w14:paraId="147287DB" w14:textId="77777777" w:rsidR="0040325D" w:rsidRPr="0040325D" w:rsidRDefault="00F23C3B" w:rsidP="0040325D">
      <w:pPr>
        <w:pStyle w:val="ListParagraph"/>
        <w:numPr>
          <w:ilvl w:val="2"/>
          <w:numId w:val="11"/>
        </w:num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JKDEU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bertanggungjawab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memperaku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baharu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&amp;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pindaan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meluluskan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2386EBEB" w14:textId="77777777" w:rsidR="0040325D" w:rsidRPr="0040325D" w:rsidRDefault="00F23C3B" w:rsidP="0040325D">
      <w:pPr>
        <w:pStyle w:val="ListParagraph"/>
        <w:numPr>
          <w:ilvl w:val="2"/>
          <w:numId w:val="11"/>
        </w:num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JKTDEU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bertanggungjawab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mengesyorkan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baharu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pindaaan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memperakukan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JKDEU.</w:t>
      </w:r>
    </w:p>
    <w:p w14:paraId="245732D6" w14:textId="77777777" w:rsidR="0040325D" w:rsidRPr="0040325D" w:rsidRDefault="00F23C3B" w:rsidP="0040325D">
      <w:pPr>
        <w:pStyle w:val="ListParagraph"/>
        <w:numPr>
          <w:ilvl w:val="2"/>
          <w:numId w:val="11"/>
        </w:num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Pengurus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bertanggungjawab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memantau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pelaksanaan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22A671E3" w14:textId="77777777" w:rsidR="0040325D" w:rsidRPr="0040325D" w:rsidRDefault="00F23C3B" w:rsidP="0040325D">
      <w:pPr>
        <w:pStyle w:val="ListParagraph"/>
        <w:numPr>
          <w:ilvl w:val="2"/>
          <w:numId w:val="11"/>
        </w:num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Pemilik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bertanggungjawab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membangunkan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meminda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7809F3C3" w14:textId="3C36F01E" w:rsidR="001964C4" w:rsidRPr="0040325D" w:rsidRDefault="00F23C3B" w:rsidP="0040325D">
      <w:pPr>
        <w:pStyle w:val="ListParagraph"/>
        <w:numPr>
          <w:ilvl w:val="2"/>
          <w:numId w:val="11"/>
        </w:num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Pencadang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boleh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mencadangkan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Pemilik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sebarang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cadangan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baharu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40325D">
        <w:rPr>
          <w:rFonts w:ascii="Arial" w:eastAsia="Arial" w:hAnsi="Arial" w:cs="Arial"/>
          <w:color w:val="FF0000"/>
          <w:sz w:val="24"/>
          <w:szCs w:val="24"/>
        </w:rPr>
        <w:t>pindaan</w:t>
      </w:r>
      <w:proofErr w:type="spellEnd"/>
      <w:r w:rsidRPr="0040325D"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30D9855D" w14:textId="77777777" w:rsidR="001964C4" w:rsidRDefault="001964C4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3DE0EA3" w14:textId="77777777" w:rsidR="001964C4" w:rsidRDefault="001964C4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E4527E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2.3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KETERANGAN PROSES KERJA</w:t>
      </w:r>
    </w:p>
    <w:p w14:paraId="0A3D65FF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&lt;WAJIB&gt;</w:t>
      </w:r>
    </w:p>
    <w:p w14:paraId="707EA048" w14:textId="77777777" w:rsidR="001964C4" w:rsidRDefault="00F23C3B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Senaraikan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proses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utama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terperinci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proses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44D7D049" w14:textId="77777777" w:rsidR="001964C4" w:rsidRDefault="00F23C3B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Sekiranya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melibatkan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beberapa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proses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utama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proses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dinyatakan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berasingan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seperti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(2.3.1, 2.3.2...)</w:t>
      </w:r>
    </w:p>
    <w:p w14:paraId="265E4A2D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</w:p>
    <w:p w14:paraId="0A506908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Pendaftaran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Harta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Intelek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UTM</w:t>
      </w:r>
    </w:p>
    <w:p w14:paraId="49DA12BA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2.3.1 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Proses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Pendaftaran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Paten</w:t>
      </w:r>
    </w:p>
    <w:p w14:paraId="4E0D3399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  <w:t>&lt;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Keterangan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&gt;</w:t>
      </w:r>
    </w:p>
    <w:p w14:paraId="6B81601A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2.3.2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Proses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Pendaftaran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Hak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Cipta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UTM</w:t>
      </w:r>
    </w:p>
    <w:p w14:paraId="5D50B862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  <w:t>&lt;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Keterangan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&gt;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7CBE7A04" w14:textId="0E540766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AC9A30" w14:textId="20A3FDE1" w:rsidR="00F23C3B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4F5D6E" w14:textId="77777777" w:rsidR="00F23C3B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25BD34E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3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PERANAN DAN TANGGUNGJAWAB PELAKSANA PROSEDUR</w:t>
      </w:r>
    </w:p>
    <w:p w14:paraId="07C627E3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24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3.1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PUSAT TANGGUNGJAWAB BERKAITAN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tbl>
      <w:tblPr>
        <w:tblStyle w:val="a1"/>
        <w:tblW w:w="8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7395"/>
      </w:tblGrid>
      <w:tr w:rsidR="001964C4" w14:paraId="5E978056" w14:textId="77777777">
        <w:trPr>
          <w:trHeight w:val="56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ED0E" w14:textId="77777777" w:rsidR="001964C4" w:rsidRDefault="00F23C3B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17C3" w14:textId="77777777" w:rsidR="001964C4" w:rsidRDefault="00F23C3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PTJ</w:t>
            </w:r>
          </w:p>
        </w:tc>
      </w:tr>
      <w:tr w:rsidR="001964C4" w14:paraId="407652A3" w14:textId="77777777">
        <w:trPr>
          <w:trHeight w:val="56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3DAD" w14:textId="77777777" w:rsidR="001964C4" w:rsidRDefault="00F23C3B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7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1F44" w14:textId="77777777" w:rsidR="001964C4" w:rsidRDefault="00F23C3B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Pusat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Inovasi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Pengkomersilan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(ICC)</w:t>
            </w:r>
          </w:p>
        </w:tc>
      </w:tr>
      <w:tr w:rsidR="001964C4" w14:paraId="52E7A51A" w14:textId="77777777">
        <w:trPr>
          <w:trHeight w:val="56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1660" w14:textId="77777777" w:rsidR="001964C4" w:rsidRDefault="00F23C3B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7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2E94" w14:textId="77777777" w:rsidR="001964C4" w:rsidRDefault="00F23C3B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Semua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Fakulti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BB5BF46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26779854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3.2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PERANAN DAN TANGGUNGJAWAB PTJ</w:t>
      </w:r>
    </w:p>
    <w:tbl>
      <w:tblPr>
        <w:tblStyle w:val="a2"/>
        <w:tblW w:w="8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4185"/>
      </w:tblGrid>
      <w:tr w:rsidR="001964C4" w14:paraId="0CDEDB19" w14:textId="77777777">
        <w:trPr>
          <w:trHeight w:val="56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9552" w14:textId="77777777" w:rsidR="001964C4" w:rsidRDefault="00F23C3B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PTJ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5D95" w14:textId="77777777" w:rsidR="001964C4" w:rsidRDefault="00F23C3B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TANGGUNGJAWAB</w:t>
            </w:r>
          </w:p>
        </w:tc>
      </w:tr>
      <w:tr w:rsidR="001964C4" w14:paraId="2AFD4304" w14:textId="77777777">
        <w:trPr>
          <w:trHeight w:val="1280"/>
        </w:trPr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09E0" w14:textId="77777777" w:rsidR="001964C4" w:rsidRDefault="00F23C3B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Pusat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Inovasi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Pengkomersilan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(ICC)</w:t>
            </w:r>
          </w:p>
        </w:tc>
        <w:tc>
          <w:tcPr>
            <w:tcW w:w="4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AE43" w14:textId="77777777" w:rsidR="001964C4" w:rsidRDefault="00F23C3B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Mengurus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menyelaras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semua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permohonan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pendaftaran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harta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intelek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UTM</w:t>
            </w:r>
          </w:p>
        </w:tc>
      </w:tr>
      <w:tr w:rsidR="001964C4" w14:paraId="2AF36D02" w14:textId="77777777">
        <w:trPr>
          <w:trHeight w:val="560"/>
        </w:trPr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C1E6" w14:textId="77777777" w:rsidR="001964C4" w:rsidRDefault="00F23C3B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Semua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Fakulti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7F68" w14:textId="77777777" w:rsidR="001964C4" w:rsidRDefault="00F23C3B">
            <w:pPr>
              <w:spacing w:after="0"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Memperaku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permohonan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pendaftaran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harta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intelek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UTM yang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dikemukakan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oleh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staf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14:paraId="57A9B05B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4CE30AEB" w14:textId="4588DD13" w:rsidR="001964C4" w:rsidRPr="003F7F42" w:rsidRDefault="00F23C3B" w:rsidP="003F7F42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4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TADBIR URUS</w:t>
      </w:r>
    </w:p>
    <w:p w14:paraId="3D26A845" w14:textId="77777777" w:rsidR="001964C4" w:rsidRDefault="00F23C3B">
      <w:pPr>
        <w:spacing w:after="24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4.1       PEMILIK PROSEDUR DAN PENGURUS DOKUMEN POLISI</w:t>
      </w:r>
    </w:p>
    <w:tbl>
      <w:tblPr>
        <w:tblStyle w:val="a3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555"/>
      </w:tblGrid>
      <w:tr w:rsidR="001964C4" w14:paraId="1FED2E0E" w14:textId="77777777">
        <w:trPr>
          <w:trHeight w:val="4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432D" w14:textId="77777777" w:rsidR="001964C4" w:rsidRDefault="00F23C3B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6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BC3C" w14:textId="77777777" w:rsidR="001964C4" w:rsidRDefault="00F23C3B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Pusat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Inovasi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Pengkomersilan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(ICC)</w:t>
            </w:r>
          </w:p>
        </w:tc>
      </w:tr>
      <w:tr w:rsidR="001964C4" w14:paraId="076ED1F9" w14:textId="77777777">
        <w:trPr>
          <w:trHeight w:val="74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83E9" w14:textId="77777777" w:rsidR="001964C4" w:rsidRDefault="00F23C3B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PTJ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5DA9" w14:textId="77777777" w:rsidR="001964C4" w:rsidRDefault="00F23C3B">
            <w:pPr>
              <w:spacing w:after="0" w:line="305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Penolong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Pendaftar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Undang-undang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), ICC</w:t>
            </w:r>
          </w:p>
        </w:tc>
      </w:tr>
      <w:tr w:rsidR="001964C4" w14:paraId="32E348A2" w14:textId="77777777">
        <w:trPr>
          <w:trHeight w:val="74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EC10" w14:textId="77777777" w:rsidR="001964C4" w:rsidRDefault="00F23C3B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FAE6" w14:textId="7940DDB8" w:rsidR="001964C4" w:rsidRDefault="00F23C3B">
            <w:pPr>
              <w:spacing w:after="0" w:line="305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Seksyen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Governan</w:t>
            </w:r>
            <w:proofErr w:type="spellEnd"/>
            <w:r w:rsidR="008A0655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8A0655">
              <w:rPr>
                <w:rFonts w:ascii="Arial" w:eastAsia="Arial" w:hAnsi="Arial" w:cs="Arial"/>
                <w:b/>
                <w:sz w:val="24"/>
                <w:szCs w:val="24"/>
              </w:rPr>
              <w:t>Jabatan</w:t>
            </w:r>
            <w:proofErr w:type="spellEnd"/>
            <w:r w:rsidR="008A065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A0655">
              <w:rPr>
                <w:rFonts w:ascii="Arial" w:eastAsia="Arial" w:hAnsi="Arial" w:cs="Arial"/>
                <w:b/>
                <w:sz w:val="24"/>
                <w:szCs w:val="24"/>
              </w:rPr>
              <w:t>Pendaftar</w:t>
            </w:r>
            <w:proofErr w:type="spellEnd"/>
          </w:p>
        </w:tc>
      </w:tr>
    </w:tbl>
    <w:p w14:paraId="54664B16" w14:textId="77777777" w:rsidR="001964C4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35B7BD5" w14:textId="55C023BF" w:rsidR="001964C4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4728279C" w14:textId="2E95FD04" w:rsidR="00F23C3B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4B18577F" w14:textId="77777777" w:rsidR="003F7F42" w:rsidRDefault="003F7F42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7AA895A" w14:textId="77777777" w:rsidR="001964C4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4.2      TANGGUNGJAWAB  </w:t>
      </w:r>
    </w:p>
    <w:p w14:paraId="0463F5A0" w14:textId="77777777" w:rsidR="001964C4" w:rsidRDefault="00F23C3B">
      <w:pPr>
        <w:spacing w:after="0" w:line="360" w:lineRule="auto"/>
        <w:ind w:left="-630" w:firstLine="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&lt;WAJIB&gt;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</w:t>
      </w:r>
    </w:p>
    <w:tbl>
      <w:tblPr>
        <w:tblStyle w:val="a4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570"/>
      </w:tblGrid>
      <w:tr w:rsidR="001964C4" w14:paraId="7FAF0E66" w14:textId="77777777">
        <w:trPr>
          <w:trHeight w:val="34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A9E2" w14:textId="77777777" w:rsidR="001964C4" w:rsidRDefault="00F23C3B">
            <w:pPr>
              <w:spacing w:after="0" w:line="276" w:lineRule="auto"/>
              <w:ind w:left="9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03C3" w14:textId="77777777" w:rsidR="001964C4" w:rsidRPr="00553425" w:rsidRDefault="00F23C3B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serta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mendapatkan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perakuan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daripada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JKTDEU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seterusnya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kelulusan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daripada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JKDEU.</w:t>
            </w:r>
          </w:p>
          <w:p w14:paraId="3AB946AD" w14:textId="77777777" w:rsidR="001964C4" w:rsidRPr="00553425" w:rsidRDefault="00F23C3B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untuk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berkaitan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didaftarkan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dalam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Daftar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UTM.</w:t>
            </w:r>
          </w:p>
          <w:p w14:paraId="70D937FB" w14:textId="77777777" w:rsidR="001964C4" w:rsidRPr="00553425" w:rsidRDefault="00F23C3B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untuk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berkaitan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dihebahkan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warga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Universiti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58458FEB" w14:textId="77777777" w:rsidR="001964C4" w:rsidRPr="00553425" w:rsidRDefault="00F23C3B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semakan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dalam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tempoh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masa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tertentu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telah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ditetapkan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1964C4" w14:paraId="5CAA969E" w14:textId="77777777">
        <w:trPr>
          <w:trHeight w:val="34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4BB3" w14:textId="77777777" w:rsidR="001964C4" w:rsidRDefault="00F23C3B">
            <w:pPr>
              <w:spacing w:after="0" w:line="276" w:lineRule="auto"/>
              <w:ind w:left="9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PTJ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FA8E" w14:textId="77777777" w:rsidR="001964C4" w:rsidRPr="00553425" w:rsidRDefault="00F23C3B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55342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penyimpanan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perekodan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pengemaskinian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di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peringkat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PTJ.</w:t>
            </w:r>
          </w:p>
          <w:p w14:paraId="50F4DC0C" w14:textId="77777777" w:rsidR="001964C4" w:rsidRPr="00553425" w:rsidRDefault="00F23C3B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memantau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pelaksanaan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pada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peringkat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PTJ.</w:t>
            </w:r>
          </w:p>
        </w:tc>
      </w:tr>
      <w:tr w:rsidR="001964C4" w14:paraId="6BDE44B3" w14:textId="77777777">
        <w:trPr>
          <w:trHeight w:val="2360"/>
        </w:trPr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1892" w14:textId="77777777" w:rsidR="001964C4" w:rsidRDefault="00F23C3B">
            <w:pPr>
              <w:spacing w:after="0" w:line="276" w:lineRule="auto"/>
              <w:ind w:left="9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6578" w14:textId="77777777" w:rsidR="001964C4" w:rsidRPr="00553425" w:rsidRDefault="00F23C3B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55342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penyimpanan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perekodan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pengemaskinian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0E596A90" w14:textId="7C5A2ECE" w:rsidR="001964C4" w:rsidRPr="00553425" w:rsidRDefault="00F23C3B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55342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diluluskan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oleh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Universiti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diwartakan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oleh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Pendaftar</w:t>
            </w:r>
            <w:proofErr w:type="spellEnd"/>
            <w:r w:rsidR="00E9738D"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9738D" w:rsidRPr="00553425">
              <w:rPr>
                <w:rFonts w:ascii="Arial" w:eastAsia="Arial" w:hAnsi="Arial" w:cs="Arial"/>
                <w:b/>
                <w:sz w:val="24"/>
                <w:szCs w:val="24"/>
              </w:rPr>
              <w:t>atau</w:t>
            </w:r>
            <w:proofErr w:type="spellEnd"/>
            <w:r w:rsidR="00E9738D"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9738D" w:rsidRPr="00553425">
              <w:rPr>
                <w:rFonts w:ascii="Arial" w:eastAsia="Arial" w:hAnsi="Arial" w:cs="Arial"/>
                <w:b/>
                <w:sz w:val="24"/>
                <w:szCs w:val="24"/>
              </w:rPr>
              <w:t>mana-mana</w:t>
            </w:r>
            <w:proofErr w:type="spellEnd"/>
            <w:r w:rsidR="00E9738D"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9738D" w:rsidRPr="00553425">
              <w:rPr>
                <w:rFonts w:ascii="Arial" w:eastAsia="Arial" w:hAnsi="Arial" w:cs="Arial"/>
                <w:b/>
                <w:sz w:val="24"/>
                <w:szCs w:val="24"/>
              </w:rPr>
              <w:t>jabatan</w:t>
            </w:r>
            <w:proofErr w:type="spellEnd"/>
            <w:r w:rsidR="00E9738D"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="00E9738D" w:rsidRPr="00553425">
              <w:rPr>
                <w:rFonts w:ascii="Arial" w:eastAsia="Arial" w:hAnsi="Arial" w:cs="Arial"/>
                <w:b/>
                <w:sz w:val="24"/>
                <w:szCs w:val="24"/>
              </w:rPr>
              <w:t>berkaitan</w:t>
            </w:r>
            <w:proofErr w:type="spellEnd"/>
            <w:r w:rsidR="00E9738D" w:rsidRPr="00553425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1759D21C" w14:textId="77777777" w:rsidR="001964C4" w:rsidRPr="00553425" w:rsidRDefault="00F23C3B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55342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sebagai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Setiausaha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JKDEU.</w:t>
            </w:r>
          </w:p>
        </w:tc>
      </w:tr>
    </w:tbl>
    <w:p w14:paraId="48FE80A3" w14:textId="6A84619D" w:rsidR="001964C4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3A1AAFC" w14:textId="1C29756B" w:rsidR="00F23C3B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7D8A44B0" w14:textId="3C7A0455" w:rsidR="00F23C3B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3004F60A" w14:textId="495FAA36" w:rsidR="00F23C3B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7611A584" w14:textId="77777777" w:rsidR="00F23C3B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6699BF8F" w14:textId="77777777" w:rsidR="001964C4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4.3     KAEDAH PEMANTAUAN DAN HEBAHAN</w:t>
      </w:r>
    </w:p>
    <w:p w14:paraId="3356C2B1" w14:textId="77777777" w:rsidR="001964C4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>&lt;WAJIB&gt;</w:t>
      </w:r>
    </w:p>
    <w:tbl>
      <w:tblPr>
        <w:tblStyle w:val="a5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480"/>
      </w:tblGrid>
      <w:tr w:rsidR="001964C4" w14:paraId="2BDB473F" w14:textId="77777777">
        <w:trPr>
          <w:trHeight w:val="318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CFCD" w14:textId="77777777" w:rsidR="001964C4" w:rsidRDefault="00F23C3B">
            <w:pPr>
              <w:spacing w:after="0" w:line="276" w:lineRule="auto"/>
              <w:ind w:left="14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Pemantauan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Penambahbaikan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(CQI)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BA98" w14:textId="77777777" w:rsidR="001964C4" w:rsidRPr="00553425" w:rsidRDefault="00F23C3B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55342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Universiti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hendaklah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disemak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setiap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tahun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untuk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tersebut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masih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relevan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64E2523A" w14:textId="77777777" w:rsidR="001964C4" w:rsidRPr="00553425" w:rsidRDefault="00F23C3B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55342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Sebarang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pihak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boleh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mencadangkan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dengan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cara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memaklumkan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Sebarang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hendaklah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merujuk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perkara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Tadbir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Urus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59796252" w14:textId="77777777" w:rsidR="001964C4" w:rsidRPr="00553425" w:rsidRDefault="00F23C3B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55342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hendaklah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memaklumkan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apabila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berlaku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sebarang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20BDC92B" w14:textId="77777777" w:rsidR="001964C4" w:rsidRPr="00553425" w:rsidRDefault="00F23C3B">
            <w:pPr>
              <w:spacing w:after="0" w:line="276" w:lineRule="auto"/>
              <w:ind w:left="-63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964C4" w14:paraId="313A1B8C" w14:textId="77777777">
        <w:trPr>
          <w:trHeight w:val="3240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0073" w14:textId="77777777" w:rsidR="001964C4" w:rsidRDefault="00F23C3B">
            <w:pPr>
              <w:spacing w:after="0" w:line="276" w:lineRule="auto"/>
              <w:ind w:left="14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oBack" w:colFirst="1" w:colLast="1"/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Penyiaran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Hebahan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F6F9" w14:textId="77777777" w:rsidR="001964C4" w:rsidRPr="00553425" w:rsidRDefault="00F23C3B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553425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1.</w:t>
            </w:r>
            <w:r w:rsidRPr="0055342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yang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telah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diluluskan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oleh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Senat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/JPU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didaftarkan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dalam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Daftar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UTM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oleh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Pengurus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Dokumen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diwartakan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oleh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Pendaftar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melalui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Pekeliling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Universiti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.</w:t>
            </w:r>
          </w:p>
          <w:p w14:paraId="4BE974F7" w14:textId="77777777" w:rsidR="001964C4" w:rsidRPr="00553425" w:rsidRDefault="00F23C3B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553425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</w:t>
            </w:r>
            <w:r w:rsidRPr="0055342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Pemilik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hendaklah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membuat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hebahan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yang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telah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dilulus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diwartakan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untuk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pelaksanaan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yang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efektif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.</w:t>
            </w:r>
          </w:p>
          <w:p w14:paraId="5638FEA5" w14:textId="77777777" w:rsidR="001964C4" w:rsidRPr="00553425" w:rsidRDefault="00F23C3B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553425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3.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mestilah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disimpan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secara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teratur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mengikut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kluster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di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dalam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Daftar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UTM.</w:t>
            </w:r>
          </w:p>
          <w:p w14:paraId="638DF4C1" w14:textId="77777777" w:rsidR="001964C4" w:rsidRPr="00553425" w:rsidRDefault="00F23C3B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553425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4.</w:t>
            </w:r>
            <w:r w:rsidRPr="0055342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Prosedur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boleh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diakses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oleh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warga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Universiti</w:t>
            </w:r>
            <w:proofErr w:type="spellEnd"/>
            <w:r w:rsidRPr="00553425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. </w:t>
            </w:r>
          </w:p>
          <w:p w14:paraId="57F370C5" w14:textId="77777777" w:rsidR="001964C4" w:rsidRPr="00553425" w:rsidRDefault="00F23C3B">
            <w:pPr>
              <w:spacing w:after="0" w:line="276" w:lineRule="auto"/>
              <w:ind w:left="-63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534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bookmarkEnd w:id="0"/>
    </w:tbl>
    <w:p w14:paraId="1D3F8581" w14:textId="77777777" w:rsidR="001964C4" w:rsidRDefault="001964C4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28F16FD2" w14:textId="77777777" w:rsidR="001964C4" w:rsidRDefault="001964C4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515B897B" w14:textId="77777777" w:rsidR="001964C4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4.4      KAWALAN VERSI DAN KRONOLOGI PERUBAHAN</w:t>
      </w:r>
    </w:p>
    <w:p w14:paraId="3FB60462" w14:textId="77777777" w:rsidR="001964C4" w:rsidRDefault="00F23C3B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>&lt;WAJIB&gt;</w:t>
      </w:r>
    </w:p>
    <w:tbl>
      <w:tblPr>
        <w:tblStyle w:val="a6"/>
        <w:tblW w:w="8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3"/>
        <w:gridCol w:w="2452"/>
        <w:gridCol w:w="2437"/>
        <w:gridCol w:w="2220"/>
      </w:tblGrid>
      <w:tr w:rsidR="001964C4" w14:paraId="4132BF37" w14:textId="77777777">
        <w:trPr>
          <w:trHeight w:val="48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EF21" w14:textId="77777777" w:rsidR="001964C4" w:rsidRDefault="00F23C3B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Versi</w:t>
            </w:r>
            <w:proofErr w:type="spellEnd"/>
          </w:p>
        </w:tc>
        <w:tc>
          <w:tcPr>
            <w:tcW w:w="24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A26C" w14:textId="77777777" w:rsidR="001964C4" w:rsidRDefault="00F23C3B">
            <w:pPr>
              <w:spacing w:after="0" w:line="276" w:lineRule="auto"/>
              <w:ind w:left="-270" w:right="-9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Tarikh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Diluluskan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F67B" w14:textId="77777777" w:rsidR="001964C4" w:rsidRDefault="00F23C3B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Diluluskan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A03B" w14:textId="77777777" w:rsidR="001964C4" w:rsidRDefault="00F23C3B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</w:p>
        </w:tc>
      </w:tr>
      <w:tr w:rsidR="001964C4" w14:paraId="66661E81" w14:textId="77777777">
        <w:trPr>
          <w:trHeight w:val="480"/>
        </w:trPr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7B45" w14:textId="77777777" w:rsidR="001964C4" w:rsidRDefault="00F23C3B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DB2F" w14:textId="77777777" w:rsidR="001964C4" w:rsidRDefault="00F23C3B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8119" w14:textId="77777777" w:rsidR="001964C4" w:rsidRDefault="00F23C3B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92EA" w14:textId="77777777" w:rsidR="001964C4" w:rsidRDefault="00F23C3B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6AD32AC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6D7DDB54" w14:textId="1E07B93C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59E513" w14:textId="78B5DF2B" w:rsidR="00F23C3B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3F6995" w14:textId="3FC267CC" w:rsidR="00F23C3B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4E1E4" w14:textId="77777777" w:rsidR="00F23C3B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54269F" w14:textId="77777777" w:rsidR="001964C4" w:rsidRDefault="00F23C3B">
      <w:pPr>
        <w:spacing w:before="240"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5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DOKUMEN SOKONGAN</w:t>
      </w:r>
    </w:p>
    <w:p w14:paraId="075A540B" w14:textId="77777777" w:rsidR="001964C4" w:rsidRDefault="00F23C3B">
      <w:pPr>
        <w:spacing w:before="240"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5.1      CARTA ALIR BERSEPADU / CARTA ALIR BERKAITAN </w:t>
      </w:r>
    </w:p>
    <w:p w14:paraId="2F56D8E7" w14:textId="77777777" w:rsidR="001964C4" w:rsidRDefault="00F23C3B">
      <w:pPr>
        <w:spacing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5.2      BORANG BERKAITAN</w:t>
      </w:r>
    </w:p>
    <w:p w14:paraId="31CBE485" w14:textId="77777777" w:rsidR="001964C4" w:rsidRDefault="001964C4">
      <w:pPr>
        <w:spacing w:after="0" w:line="360" w:lineRule="auto"/>
        <w:ind w:hanging="72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8345B6C" w14:textId="77777777" w:rsidR="00553425" w:rsidRDefault="00553425">
      <w:pPr>
        <w:spacing w:after="0" w:line="360" w:lineRule="auto"/>
        <w:ind w:hanging="72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4F77B7F" w14:textId="479C74A9" w:rsidR="00553425" w:rsidRDefault="00553425" w:rsidP="005534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6 :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DOKUMEN RUJUKAN </w:t>
      </w:r>
    </w:p>
    <w:p w14:paraId="25497195" w14:textId="77777777" w:rsidR="00553425" w:rsidRDefault="00553425" w:rsidP="00553425">
      <w:pPr>
        <w:spacing w:after="0" w:line="360" w:lineRule="auto"/>
        <w:ind w:left="425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&lt;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Pilihan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nyatakan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sebarang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rujukan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&gt;</w:t>
      </w:r>
    </w:p>
    <w:p w14:paraId="0D972EAF" w14:textId="77777777" w:rsidR="00553425" w:rsidRDefault="00553425" w:rsidP="005534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88"/>
      </w:tblGrid>
      <w:tr w:rsidR="00553425" w14:paraId="5A071B86" w14:textId="77777777" w:rsidTr="001F7924">
        <w:trPr>
          <w:trHeight w:val="492"/>
        </w:trPr>
        <w:tc>
          <w:tcPr>
            <w:tcW w:w="908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6A2F9" w14:textId="77777777" w:rsidR="00553425" w:rsidRDefault="00553425" w:rsidP="001F7924">
            <w:pPr>
              <w:spacing w:after="0" w:line="280" w:lineRule="auto"/>
              <w:ind w:left="1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</w:p>
        </w:tc>
      </w:tr>
      <w:tr w:rsidR="00553425" w14:paraId="6D7E2285" w14:textId="77777777" w:rsidTr="001F7924">
        <w:trPr>
          <w:trHeight w:val="492"/>
        </w:trPr>
        <w:tc>
          <w:tcPr>
            <w:tcW w:w="9088" w:type="dxa"/>
            <w:tcBorders>
              <w:top w:val="single" w:sz="6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7C143" w14:textId="77777777" w:rsidR="00553425" w:rsidRDefault="00553425" w:rsidP="001F7924">
            <w:pPr>
              <w:spacing w:after="0" w:line="280" w:lineRule="auto"/>
              <w:ind w:lef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XXXXXXXXX</w:t>
            </w:r>
          </w:p>
        </w:tc>
      </w:tr>
    </w:tbl>
    <w:p w14:paraId="1AFF39D6" w14:textId="77777777" w:rsidR="00553425" w:rsidRDefault="00553425" w:rsidP="0055342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8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0A8A8B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71FA99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8A77C0C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4EC899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729987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78CB4D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1C1B2B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A4B246E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FC14157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F474FB" w14:textId="77777777" w:rsidR="001964C4" w:rsidRDefault="00F23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</w:p>
    <w:p w14:paraId="14389AE0" w14:textId="77777777" w:rsidR="001964C4" w:rsidRDefault="001964C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8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9A471C" w14:textId="77777777" w:rsidR="001964C4" w:rsidRDefault="001964C4">
      <w:pPr>
        <w:rPr>
          <w:rFonts w:ascii="Arial" w:eastAsia="Arial" w:hAnsi="Arial" w:cs="Arial"/>
          <w:sz w:val="24"/>
          <w:szCs w:val="24"/>
        </w:rPr>
      </w:pPr>
    </w:p>
    <w:p w14:paraId="6BA6DECD" w14:textId="77777777" w:rsidR="001964C4" w:rsidRDefault="001964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1964C4">
      <w:pgSz w:w="11906" w:h="16838"/>
      <w:pgMar w:top="1440" w:right="1440" w:bottom="1440" w:left="1417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Times New Roman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10C"/>
    <w:multiLevelType w:val="multilevel"/>
    <w:tmpl w:val="1C900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A1564D"/>
    <w:multiLevelType w:val="multilevel"/>
    <w:tmpl w:val="039A681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C0C409D"/>
    <w:multiLevelType w:val="multilevel"/>
    <w:tmpl w:val="27CC1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8D07D6"/>
    <w:multiLevelType w:val="multilevel"/>
    <w:tmpl w:val="46BE56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1C954910"/>
    <w:multiLevelType w:val="multilevel"/>
    <w:tmpl w:val="4B1E2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10C4341"/>
    <w:multiLevelType w:val="multilevel"/>
    <w:tmpl w:val="BE3A6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02B59A3"/>
    <w:multiLevelType w:val="multilevel"/>
    <w:tmpl w:val="2FEE3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0376F4F"/>
    <w:multiLevelType w:val="multilevel"/>
    <w:tmpl w:val="E2CC4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9982C6F"/>
    <w:multiLevelType w:val="multilevel"/>
    <w:tmpl w:val="A27CF54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>
    <w:nsid w:val="69C74638"/>
    <w:multiLevelType w:val="multilevel"/>
    <w:tmpl w:val="FC248492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7C644AAC"/>
    <w:multiLevelType w:val="multilevel"/>
    <w:tmpl w:val="F8BCC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4"/>
    <w:rsid w:val="001964C4"/>
    <w:rsid w:val="0022499B"/>
    <w:rsid w:val="0033660B"/>
    <w:rsid w:val="003F7F42"/>
    <w:rsid w:val="0040325D"/>
    <w:rsid w:val="00553425"/>
    <w:rsid w:val="008A0655"/>
    <w:rsid w:val="00C2118C"/>
    <w:rsid w:val="00DE794D"/>
    <w:rsid w:val="00E9738D"/>
    <w:rsid w:val="00F23C3B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F23C3B"/>
  </w:style>
  <w:style w:type="paragraph" w:styleId="ListParagraph">
    <w:name w:val="List Paragraph"/>
    <w:basedOn w:val="Normal"/>
    <w:uiPriority w:val="34"/>
    <w:qFormat/>
    <w:rsid w:val="00403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F23C3B"/>
  </w:style>
  <w:style w:type="paragraph" w:styleId="ListParagraph">
    <w:name w:val="List Paragraph"/>
    <w:basedOn w:val="Normal"/>
    <w:uiPriority w:val="34"/>
    <w:qFormat/>
    <w:rsid w:val="00403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2021-08-05T01:38:00Z</dcterms:created>
  <dcterms:modified xsi:type="dcterms:W3CDTF">2021-08-05T03:40:00Z</dcterms:modified>
</cp:coreProperties>
</file>